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DB1C6C4">
      <w:pPr>
        <w:pStyle w:val="style0"/>
        <w:spacing w:lineRule="exact" w:line="530"/>
        <w:ind w:right="-58"/>
        <w:rPr>
          <w:rFonts w:eastAsia="黑体"/>
          <w:szCs w:val="32"/>
        </w:rPr>
      </w:pPr>
      <w:r>
        <w:rPr>
          <w:rFonts w:ascii="黑体" w:cs="黑体" w:eastAsia="黑体" w:hAnsi="黑体" w:hint="eastAsia"/>
          <w:szCs w:val="32"/>
        </w:rPr>
        <w:t>附件</w:t>
      </w:r>
      <w:r>
        <w:rPr>
          <w:rFonts w:eastAsia="黑体"/>
          <w:szCs w:val="32"/>
        </w:rPr>
        <w:t>1</w:t>
      </w:r>
    </w:p>
    <w:p w14:paraId="121D072D">
      <w:pPr>
        <w:pStyle w:val="style0"/>
        <w:spacing w:lineRule="exact" w:line="530"/>
        <w:ind w:right="-58"/>
        <w:rPr>
          <w:rFonts w:eastAsia="黑体"/>
          <w:szCs w:val="32"/>
        </w:rPr>
      </w:pPr>
    </w:p>
    <w:p w14:paraId="173A76FA">
      <w:pPr>
        <w:pStyle w:val="style0"/>
        <w:spacing w:lineRule="exact" w:line="530"/>
        <w:jc w:val="center"/>
        <w:rPr>
          <w:rFonts w:ascii="黑体" w:cs="黑体" w:eastAsia="黑体" w:hAnsi="黑体" w:hint="eastAsia"/>
          <w:sz w:val="44"/>
          <w:szCs w:val="44"/>
        </w:rPr>
      </w:pPr>
      <w:r>
        <w:rPr>
          <w:rFonts w:ascii="黑体" w:cs="黑体" w:eastAsia="黑体" w:hAnsi="黑体" w:hint="default"/>
          <w:sz w:val="44"/>
          <w:szCs w:val="44"/>
          <w:lang w:val="en-US"/>
        </w:rPr>
        <w:t>“筑梦启航·职引未来”模拟求职大赛暨湖北省第四届大学生职业规划大赛校园选拔赛</w:t>
      </w:r>
      <w:r>
        <w:rPr>
          <w:rFonts w:ascii="黑体" w:cs="黑体" w:eastAsia="黑体" w:hAnsi="黑体" w:hint="eastAsia"/>
          <w:sz w:val="44"/>
          <w:szCs w:val="44"/>
        </w:rPr>
        <w:t>成长赛道方案</w:t>
      </w:r>
    </w:p>
    <w:p w14:paraId="230EEFBD">
      <w:pPr>
        <w:pStyle w:val="style0"/>
        <w:numPr>
          <w:ilvl w:val="255"/>
          <w:numId w:val="0"/>
        </w:numPr>
        <w:spacing w:lineRule="exact" w:line="530"/>
        <w:jc w:val="center"/>
        <w:rPr>
          <w:rFonts w:cs="仿宋_GB2312" w:eastAsia="黑体"/>
          <w:bCs/>
          <w:color w:val="000000"/>
          <w:szCs w:val="32"/>
        </w:rPr>
      </w:pPr>
    </w:p>
    <w:p w14:paraId="3191F6D6">
      <w:pPr>
        <w:pStyle w:val="style0"/>
        <w:numPr>
          <w:ilvl w:val="255"/>
          <w:numId w:val="0"/>
        </w:numPr>
        <w:spacing w:lineRule="exact" w:line="530"/>
        <w:ind w:firstLine="640" w:firstLineChars="200"/>
        <w:rPr>
          <w:rFonts w:cs="仿宋_GB2312" w:eastAsia="黑体"/>
          <w:bCs/>
          <w:color w:val="000000"/>
          <w:szCs w:val="32"/>
        </w:rPr>
      </w:pPr>
      <w:r>
        <w:rPr>
          <w:rFonts w:cs="仿宋_GB2312" w:eastAsia="黑体" w:hint="eastAsia"/>
          <w:bCs/>
          <w:color w:val="000000"/>
          <w:szCs w:val="32"/>
        </w:rPr>
        <w:t>一、比赛内容</w:t>
      </w:r>
    </w:p>
    <w:p w14:paraId="0C6B35A4">
      <w:pPr>
        <w:pStyle w:val="style0"/>
        <w:numPr>
          <w:ilvl w:val="255"/>
          <w:numId w:val="0"/>
        </w:numPr>
        <w:spacing w:lineRule="exact" w:line="530"/>
        <w:ind w:firstLine="640" w:firstLineChars="200"/>
        <w:rPr>
          <w:rFonts w:ascii="仿宋_GB2312" w:cs="仿宋_GB2312" w:hAnsi="仿宋_GB2312"/>
          <w:bCs/>
          <w:color w:val="000000"/>
          <w:szCs w:val="32"/>
        </w:rPr>
      </w:pPr>
      <w:r>
        <w:rPr>
          <w:rFonts w:ascii="仿宋_GB2312" w:cs="仿宋_GB2312" w:hAnsi="仿宋_GB2312" w:hint="eastAsia"/>
          <w:bCs/>
          <w:color w:val="000000"/>
          <w:szCs w:val="32"/>
        </w:rPr>
        <w:t>考察学生</w:t>
      </w:r>
      <w:r>
        <w:rPr>
          <w:rFonts w:cs="仿宋_GB2312" w:hint="eastAsia"/>
        </w:rPr>
        <w:t>树立生涯发展理念并合理设定职业目标</w:t>
      </w:r>
      <w:r>
        <w:rPr>
          <w:rFonts w:cs="仿宋_GB2312" w:hint="eastAsia"/>
          <w:color w:val="000000"/>
          <w:szCs w:val="32"/>
        </w:rPr>
        <w:t>、围绕实现目标持续行动并不断调整的成长过程</w:t>
      </w:r>
      <w:r>
        <w:rPr>
          <w:rFonts w:cs="仿宋_GB2312" w:hint="eastAsia"/>
        </w:rPr>
        <w:t>，通过学习实践提升综合素质和专业能</w:t>
      </w:r>
      <w:bookmarkStart w:id="0" w:name="_GoBack"/>
      <w:bookmarkEnd w:id="0"/>
      <w:r>
        <w:rPr>
          <w:rFonts w:cs="仿宋_GB2312" w:hint="eastAsia"/>
        </w:rPr>
        <w:t>力，体现正确的择业就业观念。参赛学生可获得实习机会。</w:t>
      </w:r>
    </w:p>
    <w:p w14:paraId="0DE25160">
      <w:pPr>
        <w:pStyle w:val="style0"/>
        <w:numPr>
          <w:ilvl w:val="255"/>
          <w:numId w:val="0"/>
        </w:numPr>
        <w:spacing w:lineRule="exact" w:line="530"/>
        <w:ind w:firstLine="640" w:firstLineChars="200"/>
        <w:rPr>
          <w:rFonts w:cs="仿宋_GB2312" w:eastAsia="黑体"/>
          <w:bCs/>
          <w:color w:val="000000"/>
          <w:szCs w:val="32"/>
        </w:rPr>
      </w:pPr>
      <w:r>
        <w:rPr>
          <w:rFonts w:cs="仿宋_GB2312" w:eastAsia="黑体" w:hint="eastAsia"/>
          <w:bCs/>
          <w:color w:val="000000"/>
          <w:szCs w:val="32"/>
        </w:rPr>
        <w:t>二、参赛对象</w:t>
      </w:r>
    </w:p>
    <w:p w14:paraId="2DED0000">
      <w:pPr>
        <w:pStyle w:val="style0"/>
        <w:spacing w:lineRule="exact" w:line="530"/>
        <w:ind w:firstLine="640" w:firstLineChars="200"/>
        <w:rPr>
          <w:rFonts w:cs="仿宋_GB2312"/>
          <w:bCs/>
          <w:color w:val="000000"/>
          <w:szCs w:val="32"/>
        </w:rPr>
      </w:pPr>
      <w:r>
        <w:rPr>
          <w:rFonts w:ascii="仿宋_GB2312" w:cs="仿宋_GB2312" w:hAnsi="仿宋_GB2312" w:hint="eastAsia"/>
        </w:rPr>
        <w:t>参赛对象为普通</w:t>
      </w:r>
      <w:r>
        <w:rPr>
          <w:rFonts w:ascii="仿宋_GB2312" w:cs="仿宋_GB2312" w:hAnsi="仿宋_GB2312" w:hint="eastAsia"/>
          <w:bCs/>
          <w:color w:val="000000"/>
          <w:szCs w:val="32"/>
        </w:rPr>
        <w:t>高等学校全日制</w:t>
      </w:r>
      <w:r>
        <w:rPr>
          <w:rFonts w:cs="仿宋_GB2312" w:hint="eastAsia"/>
        </w:rPr>
        <w:t>本、专科非毕业</w:t>
      </w:r>
      <w:r>
        <w:rPr>
          <w:rFonts w:ascii="仿宋_GB2312" w:cs="仿宋_GB2312" w:hAnsi="仿宋_GB2312" w:hint="eastAsia"/>
          <w:bCs/>
          <w:color w:val="000000"/>
          <w:szCs w:val="32"/>
        </w:rPr>
        <w:t>年级在校学生。</w:t>
      </w:r>
      <w:r>
        <w:rPr>
          <w:rFonts w:ascii="仿宋_GB2312" w:cs="仿宋_GB2312" w:hAnsi="仿宋_GB2312" w:hint="default"/>
          <w:bCs/>
          <w:color w:val="000000"/>
          <w:szCs w:val="32"/>
          <w:lang w:val="en-US"/>
        </w:rPr>
        <w:t>主要面向本、专科大一、大二，本科大三在校生（含专升本大一）。</w:t>
      </w:r>
    </w:p>
    <w:p w14:paraId="608B5B00">
      <w:pPr>
        <w:pStyle w:val="style0"/>
        <w:spacing w:lineRule="exact" w:line="530"/>
        <w:ind w:firstLine="640" w:firstLineChars="200"/>
        <w:rPr>
          <w:rFonts w:cs="仿宋_GB2312" w:eastAsia="黑体"/>
          <w:bCs/>
          <w:color w:val="000000"/>
          <w:szCs w:val="32"/>
        </w:rPr>
      </w:pPr>
      <w:r>
        <w:rPr>
          <w:rFonts w:cs="仿宋_GB2312" w:eastAsia="黑体" w:hint="eastAsia"/>
          <w:bCs/>
          <w:color w:val="000000"/>
          <w:szCs w:val="32"/>
        </w:rPr>
        <w:t>三、参赛材料要求</w:t>
      </w:r>
    </w:p>
    <w:p w14:paraId="2DF3141C">
      <w:pPr>
        <w:pStyle w:val="style0"/>
        <w:numPr>
          <w:ilvl w:val="255"/>
          <w:numId w:val="0"/>
        </w:numPr>
        <w:spacing w:lineRule="exact" w:line="530"/>
        <w:ind w:firstLine="640" w:firstLineChars="200"/>
        <w:rPr>
          <w:rFonts w:ascii="Times New Roman" w:cs="仿宋_GB2312" w:hAnsi="Times New Roman" w:hint="eastAsia"/>
        </w:rPr>
      </w:pPr>
      <w:r>
        <w:rPr>
          <w:rFonts w:ascii="Times New Roman" w:cs="仿宋_GB2312" w:hAnsi="Times New Roman" w:hint="eastAsia"/>
        </w:rPr>
        <w:t>选手在</w:t>
      </w:r>
      <w:r>
        <w:rPr>
          <w:rFonts w:ascii="Times New Roman" w:cs="仿宋_GB2312" w:hAnsi="Times New Roman" w:hint="default"/>
          <w:lang w:val="en-US"/>
        </w:rPr>
        <w:t>官方邮箱</w:t>
      </w:r>
      <w:r>
        <w:rPr>
          <w:rFonts w:ascii="Times New Roman" w:cs="仿宋_GB2312" w:hAnsi="Times New Roman" w:hint="eastAsia"/>
        </w:rPr>
        <w:t>提交以下参赛材料：</w:t>
      </w:r>
    </w:p>
    <w:p w14:paraId="23F2D800">
      <w:pPr>
        <w:pStyle w:val="style0"/>
        <w:numPr>
          <w:ilvl w:val="255"/>
          <w:numId w:val="0"/>
        </w:numPr>
        <w:spacing w:lineRule="exact" w:line="530"/>
        <w:ind w:firstLine="640" w:firstLineChars="200"/>
        <w:rPr>
          <w:rFonts w:ascii="Times New Roman" w:cs="仿宋_GB2312" w:hAnsi="Times New Roman" w:hint="eastAsia"/>
        </w:rPr>
      </w:pPr>
      <w:r>
        <w:rPr>
          <w:rFonts w:ascii="Times New Roman" w:cs="仿宋_GB2312" w:hAnsi="Times New Roman" w:hint="eastAsia"/>
        </w:rPr>
        <w:t>（一）生涯发展报告：介绍设定职业目标的过程；实现职业目标的具体行动和成效；职业目标及行动的动态调整等（PDF格式，文字不超过2000字，图表不超过5张）。</w:t>
      </w:r>
    </w:p>
    <w:p w14:paraId="0863A01A">
      <w:pPr>
        <w:pStyle w:val="style0"/>
        <w:numPr>
          <w:ilvl w:val="255"/>
          <w:numId w:val="0"/>
        </w:numPr>
        <w:spacing w:lineRule="exact" w:line="530"/>
        <w:ind w:firstLine="640" w:firstLineChars="200"/>
        <w:rPr>
          <w:rFonts w:ascii="Times New Roman" w:cs="仿宋_GB2312" w:hAnsi="Times New Roman" w:hint="eastAsia"/>
        </w:rPr>
      </w:pPr>
      <w:r>
        <w:rPr>
          <w:rFonts w:ascii="Times New Roman" w:cs="仿宋_GB2312" w:hAnsi="Times New Roman" w:hint="eastAsia"/>
        </w:rPr>
        <w:t>（二）生涯发展展示（PPT格式，不超过50MB；可加入视频）。</w:t>
      </w:r>
    </w:p>
    <w:p w14:paraId="41D81E5B">
      <w:pPr>
        <w:pStyle w:val="style0"/>
        <w:numPr>
          <w:ilvl w:val="255"/>
          <w:numId w:val="0"/>
        </w:numPr>
        <w:spacing w:lineRule="exact" w:line="530"/>
        <w:ind w:firstLine="640" w:firstLineChars="200"/>
        <w:rPr>
          <w:rFonts w:cs="仿宋_GB2312" w:eastAsia="黑体"/>
          <w:bCs/>
          <w:color w:val="000000"/>
          <w:szCs w:val="32"/>
        </w:rPr>
      </w:pPr>
      <w:r>
        <w:rPr>
          <w:rFonts w:cs="仿宋_GB2312" w:eastAsia="黑体" w:hint="eastAsia"/>
          <w:bCs/>
          <w:color w:val="000000"/>
          <w:szCs w:val="32"/>
        </w:rPr>
        <w:t>四、比赛环节</w:t>
      </w:r>
    </w:p>
    <w:p w14:paraId="63054FCC">
      <w:pPr>
        <w:pStyle w:val="style0"/>
        <w:spacing w:lineRule="exact" w:line="530"/>
        <w:ind w:firstLine="640" w:firstLineChars="200"/>
        <w:rPr>
          <w:rFonts w:cs="仿宋_GB2312"/>
          <w:color w:val="000000"/>
          <w:szCs w:val="32"/>
        </w:rPr>
      </w:pPr>
      <w:r>
        <w:rPr>
          <w:rFonts w:cs="仿宋_GB2312" w:hint="eastAsia"/>
          <w:color w:val="000000"/>
          <w:szCs w:val="32"/>
        </w:rPr>
        <w:t>成长赛道设</w:t>
      </w:r>
      <w:r>
        <w:rPr>
          <w:rFonts w:cs="仿宋_GB2312" w:hint="default"/>
          <w:color w:val="000000"/>
          <w:szCs w:val="32"/>
          <w:lang w:val="en-US"/>
        </w:rPr>
        <w:t>初赛、预决赛、决赛三个</w:t>
      </w:r>
      <w:r>
        <w:rPr>
          <w:rFonts w:cs="仿宋_GB2312" w:hint="eastAsia"/>
          <w:color w:val="000000"/>
          <w:szCs w:val="32"/>
        </w:rPr>
        <w:t>环节。</w:t>
      </w:r>
      <w:r>
        <w:rPr>
          <w:rFonts w:ascii="仿宋_GB2312" w:cs="仿宋_GB2312" w:hAnsi="仿宋_GB2312" w:hint="eastAsia"/>
          <w:color w:val="000000"/>
          <w:szCs w:val="32"/>
        </w:rPr>
        <w:t>各环节根据实际情况可适当调整。</w:t>
      </w:r>
    </w:p>
    <w:p w14:paraId="14AE5409">
      <w:pPr>
        <w:pStyle w:val="style179"/>
        <w:numPr>
          <w:ilvl w:val="0"/>
          <w:numId w:val="1"/>
        </w:numPr>
        <w:spacing w:lineRule="exact" w:line="530"/>
        <w:rPr>
          <w:rFonts w:cs="仿宋_GB2312"/>
          <w:color w:val="000000"/>
          <w:szCs w:val="32"/>
        </w:rPr>
      </w:pPr>
      <w:r>
        <w:rPr>
          <w:rFonts w:cs="仿宋_GB2312" w:hint="default"/>
          <w:lang w:val="en-US"/>
        </w:rPr>
        <w:t>初赛</w:t>
      </w:r>
    </w:p>
    <w:p w14:paraId="7046AFEC">
      <w:pPr>
        <w:pStyle w:val="style0"/>
        <w:numPr>
          <w:ilvl w:val="0"/>
          <w:numId w:val="0"/>
        </w:numPr>
        <w:spacing w:lineRule="exact" w:line="530"/>
        <w:ind w:firstLineChars="200"/>
        <w:rPr>
          <w:rFonts w:cs="仿宋_GB2312"/>
          <w:color w:val="000000"/>
          <w:szCs w:val="32"/>
        </w:rPr>
      </w:pPr>
      <w:r>
        <w:rPr>
          <w:rFonts w:cs="仿宋_GB2312"/>
          <w:color w:val="000000"/>
          <w:szCs w:val="32"/>
          <w:lang w:val="en-US"/>
        </w:rPr>
        <w:t>全校各院系分别在成长赛道推选2名选手进入初赛，选手需要根据赛道提交材料，由评委老师根据选手初赛材料进行评分，工作人员负责整理得分，确定预选赛参赛人选。</w:t>
      </w:r>
    </w:p>
    <w:p w14:paraId="4617D705">
      <w:pPr>
        <w:pStyle w:val="style179"/>
        <w:numPr>
          <w:ilvl w:val="0"/>
          <w:numId w:val="1"/>
        </w:numPr>
        <w:spacing w:lineRule="exact" w:line="530"/>
        <w:rPr>
          <w:rFonts w:cs="仿宋_GB2312" w:hint="eastAsia"/>
        </w:rPr>
      </w:pPr>
      <w:r>
        <w:rPr>
          <w:rFonts w:cs="仿宋_GB2312" w:hint="default"/>
          <w:lang w:val="en-US"/>
        </w:rPr>
        <w:t>预决赛</w:t>
      </w:r>
    </w:p>
    <w:p w14:paraId="E5B7CDBF">
      <w:pPr>
        <w:pStyle w:val="style0"/>
        <w:numPr>
          <w:ilvl w:val="0"/>
          <w:numId w:val="0"/>
        </w:numPr>
        <w:spacing w:lineRule="exact" w:line="530"/>
        <w:ind w:firstLineChars="200"/>
        <w:rPr>
          <w:rFonts w:cs="仿宋_GB2312" w:hint="eastAsia"/>
        </w:rPr>
      </w:pPr>
      <w:r>
        <w:rPr>
          <w:rFonts w:cs="仿宋_GB2312" w:hint="default"/>
          <w:lang w:val="en-US"/>
        </w:rPr>
        <w:t>预决赛将采用线下形式，分为全景沉浸体验、全真企业路演、春招求职体验三个环节。由企业HR与学院人力资源管理专业教授组成的评委团将根据选手路演表现进行打分，最终选取成长赛道5名优秀的参赛选手进入决赛。</w:t>
      </w:r>
    </w:p>
    <w:p w14:paraId="5D34F054">
      <w:pPr>
        <w:pStyle w:val="style179"/>
        <w:numPr>
          <w:ilvl w:val="0"/>
          <w:numId w:val="1"/>
        </w:numPr>
        <w:spacing w:lineRule="exact" w:line="530"/>
        <w:rPr>
          <w:rFonts w:cs="仿宋_GB2312"/>
          <w:color w:val="000000"/>
          <w:szCs w:val="32"/>
        </w:rPr>
      </w:pPr>
      <w:r>
        <w:rPr>
          <w:rFonts w:cs="仿宋_GB2312" w:hint="default"/>
          <w:color w:val="000000"/>
          <w:szCs w:val="32"/>
          <w:lang w:val="en-US"/>
        </w:rPr>
        <w:t>决赛</w:t>
      </w:r>
    </w:p>
    <w:p w14:paraId="71DE7A4C">
      <w:pPr>
        <w:pStyle w:val="style179"/>
        <w:numPr>
          <w:ilvl w:val="0"/>
          <w:numId w:val="2"/>
        </w:numPr>
        <w:spacing w:lineRule="exact" w:line="530"/>
        <w:rPr>
          <w:rFonts w:cs="仿宋_GB2312"/>
          <w:color w:val="000000"/>
          <w:szCs w:val="32"/>
        </w:rPr>
      </w:pPr>
      <w:r>
        <w:rPr>
          <w:rFonts w:cs="仿宋_GB2312"/>
          <w:color w:val="000000"/>
          <w:szCs w:val="32"/>
          <w:lang w:val="en-US"/>
        </w:rPr>
        <w:t xml:space="preserve">第一环节：个人陈述（5min) </w:t>
      </w:r>
    </w:p>
    <w:p w14:paraId="AEDD1C39">
      <w:pPr>
        <w:pStyle w:val="style0"/>
        <w:numPr>
          <w:ilvl w:val="0"/>
          <w:numId w:val="0"/>
        </w:numPr>
        <w:spacing w:lineRule="exact" w:line="530"/>
        <w:ind w:firstLineChars="200"/>
        <w:rPr>
          <w:rFonts w:cs="仿宋_GB2312"/>
          <w:color w:val="000000"/>
          <w:szCs w:val="32"/>
          <w:lang w:val="en-US"/>
        </w:rPr>
      </w:pPr>
      <w:r>
        <w:rPr>
          <w:rFonts w:cs="仿宋_GB2312"/>
          <w:color w:val="000000"/>
          <w:szCs w:val="32"/>
          <w:lang w:val="en-US"/>
        </w:rPr>
        <w:t>个人陈述（三分半及以上）：参赛选手结合PPT ，阐述自身与目标求职岗位相匹配的核心优势，如专业技能掌握情况、相关工作或实习经历成果、个人能力特质与岗位需求的契合点等。</w:t>
      </w:r>
    </w:p>
    <w:p w14:paraId="C1AF8338">
      <w:pPr>
        <w:pStyle w:val="style0"/>
        <w:numPr>
          <w:ilvl w:val="0"/>
          <w:numId w:val="0"/>
        </w:numPr>
        <w:spacing w:lineRule="exact" w:line="530"/>
        <w:ind w:firstLineChars="200"/>
        <w:rPr>
          <w:rFonts w:cs="仿宋_GB2312"/>
          <w:color w:val="000000"/>
          <w:szCs w:val="32"/>
          <w:lang w:val="en-US"/>
        </w:rPr>
      </w:pPr>
      <w:r>
        <w:rPr>
          <w:rFonts w:cs="仿宋_GB2312"/>
          <w:color w:val="000000"/>
          <w:szCs w:val="32"/>
          <w:lang w:val="en-US"/>
        </w:rPr>
        <w:t>个人风采展示（一分半内）：选手可根据个人特色及专业技能，选择 PPT 演示、情景模拟、VLOG 播放、现场演讲等多样化形式进行展示。</w:t>
      </w:r>
    </w:p>
    <w:p w14:paraId="CD55C50B">
      <w:pPr>
        <w:pStyle w:val="style179"/>
        <w:numPr>
          <w:ilvl w:val="0"/>
          <w:numId w:val="2"/>
        </w:numPr>
        <w:spacing w:lineRule="exact" w:line="530"/>
        <w:rPr>
          <w:rFonts w:cs="仿宋_GB2312"/>
          <w:color w:val="000000"/>
          <w:szCs w:val="32"/>
        </w:rPr>
      </w:pPr>
      <w:r>
        <w:rPr>
          <w:rFonts w:cs="仿宋_GB2312"/>
          <w:color w:val="000000"/>
          <w:szCs w:val="32"/>
          <w:lang w:val="en-US"/>
        </w:rPr>
        <w:t>第二环节：职场剧本杀挑战赛</w:t>
      </w:r>
    </w:p>
    <w:p w14:paraId="C3EB02F6">
      <w:pPr>
        <w:pStyle w:val="style0"/>
        <w:numPr>
          <w:ilvl w:val="0"/>
          <w:numId w:val="0"/>
        </w:numPr>
        <w:spacing w:lineRule="exact" w:line="530"/>
        <w:ind w:firstLineChars="200"/>
        <w:rPr>
          <w:rFonts w:cs="仿宋_GB2312"/>
          <w:color w:val="000000"/>
          <w:szCs w:val="32"/>
        </w:rPr>
      </w:pPr>
      <w:r>
        <w:rPr>
          <w:rFonts w:cs="仿宋_GB2312"/>
          <w:color w:val="000000"/>
          <w:szCs w:val="32"/>
          <w:lang w:val="en-US"/>
        </w:rPr>
        <w:t>晋级的3位选手抽取一个职场剧本，角色抽签决定（冲突双方，协调者），仅1分钟准备时间（仅限阅读角色背景卡，禁止交流），3人需快速代入相应角色，根据真实的职场沟通方式，展示自己对职场矛盾问题的处理思路，限时4分钟演绎，全程即兴发挥。</w:t>
      </w:r>
    </w:p>
    <w:p w14:paraId="1CE5003A">
      <w:pPr>
        <w:pStyle w:val="style0"/>
        <w:widowControl/>
        <w:numPr>
          <w:ilvl w:val="0"/>
          <w:numId w:val="3"/>
        </w:numPr>
        <w:spacing w:lineRule="exact" w:line="530"/>
        <w:ind w:firstLine="640" w:firstLineChars="200"/>
        <w:rPr>
          <w:rFonts w:cs="仿宋_GB2312" w:eastAsia="黑体"/>
          <w:bCs/>
          <w:color w:val="000000"/>
          <w:szCs w:val="32"/>
        </w:rPr>
      </w:pPr>
      <w:r>
        <w:rPr>
          <w:rFonts w:cs="仿宋_GB2312" w:eastAsia="黑体" w:hint="eastAsia"/>
          <w:bCs/>
          <w:color w:val="000000"/>
          <w:szCs w:val="32"/>
        </w:rPr>
        <w:t>评审标准</w:t>
      </w:r>
    </w:p>
    <w:tbl>
      <w:tblPr>
        <w:tblStyle w:val="style154"/>
        <w:tblpPr w:leftFromText="180" w:rightFromText="180" w:topFromText="0" w:bottomFromText="0" w:vertAnchor="text" w:horzAnchor="page" w:tblpXSpec="center" w:tblpY="68"/>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330"/>
        <w:gridCol w:w="6189"/>
        <w:gridCol w:w="782"/>
      </w:tblGrid>
      <w:tr w14:paraId="79CD5946">
        <w:trPr>
          <w:trHeight w:val="470" w:hRule="atLeast"/>
          <w:jc w:val="center"/>
        </w:trPr>
        <w:tc>
          <w:tcPr>
            <w:tcW w:w="801" w:type="pct"/>
            <w:tcBorders/>
            <w:vAlign w:val="center"/>
          </w:tcPr>
          <w:p w14:paraId="65BAD1DE">
            <w:pPr>
              <w:pStyle w:val="style0"/>
              <w:jc w:val="center"/>
              <w:rPr>
                <w:rFonts w:ascii="黑体" w:cs="黑体" w:eastAsia="黑体" w:hAnsi="黑体" w:hint="eastAsia"/>
                <w:sz w:val="28"/>
                <w:szCs w:val="28"/>
              </w:rPr>
            </w:pPr>
            <w:r>
              <w:rPr>
                <w:rFonts w:ascii="黑体" w:cs="黑体" w:eastAsia="黑体" w:hAnsi="黑体" w:hint="eastAsia"/>
                <w:sz w:val="28"/>
                <w:szCs w:val="28"/>
              </w:rPr>
              <w:t>指标</w:t>
            </w:r>
          </w:p>
        </w:tc>
        <w:tc>
          <w:tcPr>
            <w:tcW w:w="3727" w:type="pct"/>
            <w:tcBorders/>
            <w:vAlign w:val="center"/>
          </w:tcPr>
          <w:p w14:paraId="7FB560C0">
            <w:pPr>
              <w:pStyle w:val="style0"/>
              <w:jc w:val="center"/>
              <w:rPr>
                <w:rFonts w:ascii="黑体" w:cs="黑体" w:eastAsia="黑体" w:hAnsi="黑体" w:hint="eastAsia"/>
                <w:sz w:val="28"/>
                <w:szCs w:val="28"/>
              </w:rPr>
            </w:pPr>
            <w:r>
              <w:rPr>
                <w:rFonts w:ascii="黑体" w:cs="黑体" w:eastAsia="黑体" w:hAnsi="黑体" w:hint="eastAsia"/>
                <w:sz w:val="28"/>
                <w:szCs w:val="28"/>
              </w:rPr>
              <w:t>说明</w:t>
            </w:r>
          </w:p>
        </w:tc>
        <w:tc>
          <w:tcPr>
            <w:tcW w:w="471" w:type="pct"/>
            <w:tcBorders/>
            <w:vAlign w:val="center"/>
          </w:tcPr>
          <w:p w14:paraId="481F6E1B">
            <w:pPr>
              <w:pStyle w:val="style0"/>
              <w:jc w:val="center"/>
              <w:rPr>
                <w:rFonts w:ascii="黑体" w:cs="黑体" w:eastAsia="黑体" w:hAnsi="黑体" w:hint="eastAsia"/>
                <w:sz w:val="28"/>
                <w:szCs w:val="28"/>
              </w:rPr>
            </w:pPr>
            <w:r>
              <w:rPr>
                <w:rFonts w:ascii="黑体" w:cs="黑体" w:eastAsia="黑体" w:hAnsi="黑体" w:hint="eastAsia"/>
                <w:sz w:val="28"/>
                <w:szCs w:val="28"/>
              </w:rPr>
              <w:t>分值</w:t>
            </w:r>
          </w:p>
        </w:tc>
      </w:tr>
      <w:tr w14:paraId="1EFCA161">
        <w:tblPrEx/>
        <w:trPr>
          <w:trHeight w:val="1201" w:hRule="exact"/>
          <w:jc w:val="center"/>
        </w:trPr>
        <w:tc>
          <w:tcPr>
            <w:tcW w:w="801" w:type="pct"/>
            <w:vMerge w:val="restart"/>
            <w:tcBorders/>
            <w:vAlign w:val="center"/>
          </w:tcPr>
          <w:p w14:paraId="54C1E26F">
            <w:pPr>
              <w:pStyle w:val="style0"/>
              <w:numPr>
                <w:ilvl w:val="255"/>
                <w:numId w:val="0"/>
              </w:numPr>
              <w:adjustRightInd/>
              <w:rPr>
                <w:rFonts w:ascii="仿宋_GB2312" w:cs="仿宋_GB2312" w:hAnsi="仿宋_GB2312" w:hint="eastAsia"/>
                <w:sz w:val="28"/>
                <w:szCs w:val="28"/>
                <w:lang w:eastAsia="zh-CN"/>
              </w:rPr>
            </w:pPr>
            <w:r>
              <w:rPr>
                <w:rFonts w:ascii="仿宋_GB2312" w:cs="仿宋_GB2312" w:hAnsi="仿宋_GB2312" w:hint="eastAsia"/>
                <w:sz w:val="28"/>
                <w:szCs w:val="28"/>
                <w:lang w:eastAsia="zh-CN"/>
              </w:rPr>
              <w:t>职业目标</w:t>
            </w:r>
          </w:p>
        </w:tc>
        <w:tc>
          <w:tcPr>
            <w:tcW w:w="3727" w:type="pct"/>
            <w:tcBorders/>
            <w:vAlign w:val="center"/>
          </w:tcPr>
          <w:p w14:paraId="0BAC375C">
            <w:pPr>
              <w:pStyle w:val="style0"/>
              <w:numPr>
                <w:ilvl w:val="255"/>
                <w:numId w:val="0"/>
              </w:numPr>
              <w:adjustRightInd/>
              <w:rPr>
                <w:rFonts w:ascii="仿宋_GB2312" w:cs="仿宋_GB2312" w:hAnsi="仿宋_GB2312" w:hint="eastAsia"/>
                <w:sz w:val="28"/>
                <w:szCs w:val="28"/>
                <w:lang w:eastAsia="zh-CN"/>
              </w:rPr>
            </w:pPr>
            <w:r>
              <w:rPr>
                <w:rFonts w:ascii="仿宋_GB2312" w:cs="仿宋_GB2312" w:hAnsi="仿宋_GB2312" w:hint="eastAsia"/>
                <w:sz w:val="28"/>
                <w:szCs w:val="28"/>
                <w:lang w:eastAsia="zh-CN"/>
              </w:rPr>
              <w:t>结合所学专业</w:t>
            </w:r>
            <w:r>
              <w:rPr>
                <w:rFonts w:ascii="仿宋_GB2312" w:cs="仿宋_GB2312" w:hAnsi="仿宋_GB2312" w:hint="eastAsia"/>
                <w:sz w:val="28"/>
                <w:szCs w:val="28"/>
                <w:lang w:val="en-US" w:eastAsia="zh-CN"/>
              </w:rPr>
              <w:t>多渠道</w:t>
            </w:r>
            <w:r>
              <w:rPr>
                <w:rFonts w:ascii="仿宋_GB2312" w:cs="仿宋_GB2312" w:hAnsi="仿宋_GB2312" w:hint="eastAsia"/>
                <w:sz w:val="28"/>
                <w:szCs w:val="28"/>
                <w:lang w:eastAsia="zh-CN"/>
              </w:rPr>
              <w:t>了解相关行业发展趋势和就业市场需求，综合分析个人能力优势、</w:t>
            </w:r>
            <w:r>
              <w:rPr>
                <w:rFonts w:ascii="仿宋_GB2312" w:cs="仿宋_GB2312" w:hAnsi="仿宋_GB2312" w:hint="eastAsia"/>
                <w:sz w:val="28"/>
                <w:szCs w:val="28"/>
                <w:lang w:val="en-US" w:eastAsia="zh-CN"/>
              </w:rPr>
              <w:t>兴趣特长</w:t>
            </w:r>
            <w:r>
              <w:rPr>
                <w:rFonts w:ascii="仿宋_GB2312" w:cs="仿宋_GB2312" w:hAnsi="仿宋_GB2312" w:hint="eastAsia"/>
                <w:sz w:val="28"/>
                <w:szCs w:val="28"/>
                <w:lang w:eastAsia="zh-CN"/>
              </w:rPr>
              <w:t>等，合理</w:t>
            </w:r>
            <w:r>
              <w:rPr>
                <w:rFonts w:ascii="仿宋_GB2312" w:cs="仿宋_GB2312" w:hAnsi="仿宋_GB2312" w:hint="eastAsia"/>
                <w:sz w:val="28"/>
                <w:szCs w:val="28"/>
                <w:lang w:val="en-US" w:eastAsia="zh-CN"/>
              </w:rPr>
              <w:t>设定</w:t>
            </w:r>
            <w:r>
              <w:rPr>
                <w:rFonts w:ascii="仿宋_GB2312" w:cs="仿宋_GB2312" w:hAnsi="仿宋_GB2312" w:hint="eastAsia"/>
                <w:sz w:val="28"/>
                <w:szCs w:val="28"/>
                <w:lang w:eastAsia="zh-CN"/>
              </w:rPr>
              <w:t>职业目标</w:t>
            </w:r>
          </w:p>
        </w:tc>
        <w:tc>
          <w:tcPr>
            <w:tcW w:w="471" w:type="pct"/>
            <w:tcBorders/>
            <w:vAlign w:val="center"/>
          </w:tcPr>
          <w:p w14:paraId="596C4128">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default"/>
                <w:sz w:val="28"/>
                <w:szCs w:val="28"/>
                <w:lang w:val="en-US" w:eastAsia="zh-CN"/>
              </w:rPr>
              <w:t>10</w:t>
            </w:r>
          </w:p>
        </w:tc>
      </w:tr>
      <w:tr w14:paraId="1D25ABB9">
        <w:tblPrEx/>
        <w:trPr>
          <w:trHeight w:val="1241" w:hRule="exact"/>
          <w:jc w:val="center"/>
        </w:trPr>
        <w:tc>
          <w:tcPr>
            <w:tcW w:w="801" w:type="pct"/>
            <w:vMerge w:val="continue"/>
            <w:tcBorders/>
            <w:vAlign w:val="center"/>
          </w:tcPr>
          <w:p w14:paraId="191375B6">
            <w:pPr>
              <w:pStyle w:val="style0"/>
              <w:numPr>
                <w:ilvl w:val="255"/>
                <w:numId w:val="0"/>
              </w:numPr>
              <w:adjustRightInd/>
              <w:spacing w:lineRule="auto" w:line="240"/>
              <w:ind w:firstLine="0" w:firstLineChars="0"/>
              <w:jc w:val="left"/>
              <w:rPr>
                <w:rFonts w:ascii="仿宋_GB2312" w:cs="仿宋_GB2312" w:hAnsi="仿宋_GB2312" w:hint="eastAsia"/>
                <w:sz w:val="28"/>
                <w:szCs w:val="28"/>
              </w:rPr>
              <w:pPrChange w:id="0" w:author="XSS" w:date="2024-09-26T19:22:00Z">
                <w:pPr>
                  <w:pStyle w:val="style0"/>
                  <w:spacing w:lineRule="exact" w:line="600"/>
                  <w:ind w:firstLine="0" w:firstLineChars="0"/>
                  <w:jc w:val="both"/>
                </w:pPr>
              </w:pPrChange>
            </w:pPr>
          </w:p>
        </w:tc>
        <w:tc>
          <w:tcPr>
            <w:tcW w:w="3727" w:type="pct"/>
            <w:tcBorders/>
            <w:vAlign w:val="center"/>
          </w:tcPr>
          <w:p w14:paraId="697D9BA1">
            <w:pPr>
              <w:pStyle w:val="style0"/>
              <w:numPr>
                <w:ilvl w:val="255"/>
                <w:numId w:val="0"/>
              </w:numPr>
              <w:adjustRightInd/>
              <w:rPr>
                <w:rFonts w:ascii="仿宋_GB2312" w:cs="仿宋_GB2312" w:hAnsi="仿宋_GB2312" w:hint="eastAsia"/>
                <w:sz w:val="28"/>
                <w:szCs w:val="28"/>
                <w:lang w:eastAsia="zh-CN"/>
              </w:rPr>
            </w:pPr>
            <w:r>
              <w:rPr>
                <w:rFonts w:ascii="仿宋_GB2312" w:cs="仿宋_GB2312" w:hAnsi="仿宋_GB2312" w:hint="eastAsia"/>
                <w:sz w:val="28"/>
                <w:szCs w:val="28"/>
                <w:lang w:eastAsia="zh-CN"/>
              </w:rPr>
              <w:t>基于职业目标对综合素质和专业能力等方面要求，科学分析个人现实情况与职业目标间的差距，制定合理可行的成长计划</w:t>
            </w:r>
          </w:p>
        </w:tc>
        <w:tc>
          <w:tcPr>
            <w:tcW w:w="471" w:type="pct"/>
            <w:tcBorders/>
            <w:vAlign w:val="center"/>
          </w:tcPr>
          <w:p w14:paraId="73A6882B">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default"/>
                <w:sz w:val="28"/>
                <w:szCs w:val="28"/>
                <w:lang w:val="en-US" w:eastAsia="zh-CN"/>
              </w:rPr>
              <w:t>10</w:t>
            </w:r>
          </w:p>
        </w:tc>
      </w:tr>
      <w:tr w14:paraId="18617DA6">
        <w:tblPrEx/>
        <w:trPr>
          <w:trHeight w:val="871" w:hRule="exact"/>
          <w:jc w:val="center"/>
        </w:trPr>
        <w:tc>
          <w:tcPr>
            <w:tcW w:w="801" w:type="pct"/>
            <w:vMerge w:val="continue"/>
            <w:tcBorders/>
            <w:vAlign w:val="center"/>
          </w:tcPr>
          <w:p w14:paraId="56E701B5">
            <w:pPr>
              <w:pStyle w:val="style0"/>
              <w:numPr>
                <w:ilvl w:val="255"/>
                <w:numId w:val="0"/>
              </w:numPr>
              <w:adjustRightInd/>
              <w:rPr>
                <w:rFonts w:ascii="仿宋_GB2312" w:cs="仿宋_GB2312" w:hAnsi="仿宋_GB2312" w:hint="eastAsia"/>
                <w:sz w:val="28"/>
                <w:szCs w:val="28"/>
              </w:rPr>
            </w:pPr>
          </w:p>
        </w:tc>
        <w:tc>
          <w:tcPr>
            <w:tcW w:w="3727" w:type="pct"/>
            <w:tcBorders/>
            <w:vAlign w:val="center"/>
          </w:tcPr>
          <w:p w14:paraId="69919839">
            <w:pPr>
              <w:pStyle w:val="style0"/>
              <w:numPr>
                <w:ilvl w:val="255"/>
                <w:numId w:val="0"/>
              </w:numPr>
              <w:adjustRightInd/>
              <w:rPr>
                <w:rFonts w:ascii="仿宋_GB2312" w:cs="仿宋_GB2312" w:hAnsi="仿宋_GB2312" w:hint="eastAsia"/>
                <w:sz w:val="28"/>
                <w:szCs w:val="28"/>
                <w:lang w:eastAsia="zh-CN"/>
              </w:rPr>
            </w:pPr>
            <w:r>
              <w:rPr>
                <w:rFonts w:ascii="仿宋_GB2312" w:cs="仿宋_GB2312" w:hAnsi="仿宋_GB2312" w:hint="eastAsia"/>
                <w:sz w:val="28"/>
                <w:szCs w:val="28"/>
                <w:lang w:eastAsia="zh-CN"/>
              </w:rPr>
              <w:t>职业目标能够将个人理想与国家需要、经济社会发展相结合，体现正确的择业就业观念</w:t>
            </w:r>
          </w:p>
        </w:tc>
        <w:tc>
          <w:tcPr>
            <w:tcW w:w="471" w:type="pct"/>
            <w:tcBorders/>
            <w:vAlign w:val="center"/>
          </w:tcPr>
          <w:p w14:paraId="0F399603">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eastAsia"/>
                <w:sz w:val="28"/>
                <w:szCs w:val="28"/>
                <w:lang w:val="en-US" w:eastAsia="zh-CN"/>
              </w:rPr>
              <w:t>10</w:t>
            </w:r>
          </w:p>
        </w:tc>
      </w:tr>
      <w:tr w14:paraId="704B4D87">
        <w:tblPrEx/>
        <w:trPr>
          <w:trHeight w:val="834" w:hRule="exact"/>
          <w:jc w:val="center"/>
        </w:trPr>
        <w:tc>
          <w:tcPr>
            <w:tcW w:w="801" w:type="pct"/>
            <w:vMerge w:val="restart"/>
            <w:tcBorders/>
            <w:vAlign w:val="center"/>
          </w:tcPr>
          <w:p w14:paraId="649795D9">
            <w:pPr>
              <w:pStyle w:val="style0"/>
              <w:numPr>
                <w:ilvl w:val="255"/>
                <w:numId w:val="0"/>
              </w:numPr>
              <w:adjustRightInd/>
              <w:rPr>
                <w:rFonts w:ascii="仿宋_GB2312" w:cs="仿宋_GB2312" w:hAnsi="仿宋_GB2312" w:hint="eastAsia"/>
                <w:sz w:val="28"/>
                <w:szCs w:val="28"/>
                <w:lang w:val="en-US" w:eastAsia="zh-CN"/>
              </w:rPr>
            </w:pPr>
            <w:r>
              <w:rPr>
                <w:rFonts w:ascii="仿宋_GB2312" w:cs="仿宋_GB2312" w:hAnsi="仿宋_GB2312" w:hint="eastAsia"/>
                <w:sz w:val="28"/>
                <w:szCs w:val="28"/>
                <w:lang w:eastAsia="zh-CN"/>
              </w:rPr>
              <w:t>学习实践行动</w:t>
            </w:r>
          </w:p>
        </w:tc>
        <w:tc>
          <w:tcPr>
            <w:tcW w:w="3727" w:type="pct"/>
            <w:tcBorders/>
            <w:vAlign w:val="center"/>
          </w:tcPr>
          <w:p w14:paraId="76D20510">
            <w:pPr>
              <w:pStyle w:val="style0"/>
              <w:numPr>
                <w:ilvl w:val="255"/>
                <w:numId w:val="0"/>
              </w:numPr>
              <w:adjustRightInd/>
              <w:rPr>
                <w:rFonts w:ascii="仿宋_GB2312" w:cs="仿宋_GB2312" w:hAnsi="仿宋_GB2312" w:hint="eastAsia"/>
                <w:sz w:val="28"/>
                <w:szCs w:val="28"/>
                <w:lang w:val="en-US" w:eastAsia="zh-CN"/>
              </w:rPr>
            </w:pPr>
            <w:r>
              <w:rPr>
                <w:rFonts w:ascii="仿宋_GB2312" w:cs="仿宋_GB2312" w:hAnsi="仿宋_GB2312" w:hint="eastAsia"/>
                <w:sz w:val="28"/>
                <w:szCs w:val="28"/>
                <w:lang w:val="en-US" w:eastAsia="zh-CN"/>
              </w:rPr>
              <w:t>围绕目标职业要求，结合学校育人特色和所学专业，利用学校及社会资源开展学习实践</w:t>
            </w:r>
          </w:p>
        </w:tc>
        <w:tc>
          <w:tcPr>
            <w:tcW w:w="471" w:type="pct"/>
            <w:tcBorders/>
            <w:vAlign w:val="center"/>
          </w:tcPr>
          <w:p w14:paraId="7AB27A8E">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default"/>
                <w:sz w:val="28"/>
                <w:szCs w:val="28"/>
                <w:lang w:val="en-US" w:eastAsia="zh-CN"/>
              </w:rPr>
              <w:t>30</w:t>
            </w:r>
          </w:p>
        </w:tc>
      </w:tr>
      <w:tr w14:paraId="66C42A44">
        <w:tblPrEx/>
        <w:trPr>
          <w:trHeight w:val="804" w:hRule="exact"/>
          <w:jc w:val="center"/>
        </w:trPr>
        <w:tc>
          <w:tcPr>
            <w:tcW w:w="801" w:type="pct"/>
            <w:vMerge w:val="continue"/>
            <w:tcBorders/>
            <w:vAlign w:val="center"/>
          </w:tcPr>
          <w:p w14:paraId="1FD89160">
            <w:pPr>
              <w:pStyle w:val="style0"/>
              <w:numPr>
                <w:ilvl w:val="255"/>
                <w:numId w:val="0"/>
              </w:numPr>
              <w:adjustRightInd/>
              <w:spacing w:lineRule="auto" w:line="240"/>
              <w:ind w:firstLine="0" w:firstLineChars="0"/>
              <w:jc w:val="left"/>
              <w:rPr>
                <w:rFonts w:ascii="仿宋_GB2312" w:cs="仿宋_GB2312" w:hAnsi="仿宋_GB2312" w:hint="eastAsia"/>
                <w:sz w:val="28"/>
                <w:szCs w:val="28"/>
              </w:rPr>
              <w:pPrChange w:id="1" w:author="XSS" w:date="2024-09-26T19:22:00Z">
                <w:pPr>
                  <w:pStyle w:val="style0"/>
                  <w:spacing w:lineRule="exact" w:line="600"/>
                  <w:ind w:firstLine="0" w:firstLineChars="0"/>
                  <w:jc w:val="both"/>
                </w:pPr>
              </w:pPrChange>
            </w:pPr>
          </w:p>
        </w:tc>
        <w:tc>
          <w:tcPr>
            <w:tcW w:w="3727" w:type="pct"/>
            <w:tcBorders/>
            <w:vAlign w:val="center"/>
          </w:tcPr>
          <w:p w14:paraId="32551861">
            <w:pPr>
              <w:pStyle w:val="style0"/>
              <w:numPr>
                <w:ilvl w:val="255"/>
                <w:numId w:val="0"/>
              </w:numPr>
              <w:adjustRightInd/>
              <w:rPr>
                <w:rFonts w:ascii="仿宋_GB2312" w:cs="仿宋_GB2312" w:hAnsi="仿宋_GB2312" w:hint="eastAsia"/>
                <w:sz w:val="28"/>
                <w:szCs w:val="28"/>
                <w:lang w:val="en-US" w:eastAsia="zh-CN"/>
              </w:rPr>
            </w:pPr>
            <w:r>
              <w:rPr>
                <w:rFonts w:ascii="仿宋_GB2312" w:cs="仿宋_GB2312" w:hAnsi="仿宋_GB2312" w:hint="eastAsia"/>
                <w:sz w:val="28"/>
                <w:szCs w:val="28"/>
                <w:lang w:val="en-US" w:eastAsia="zh-CN"/>
              </w:rPr>
              <w:t>学习实践行动取得阶段性标志性成果，接近职业目标要求</w:t>
            </w:r>
          </w:p>
        </w:tc>
        <w:tc>
          <w:tcPr>
            <w:tcW w:w="471" w:type="pct"/>
            <w:tcBorders/>
            <w:vAlign w:val="center"/>
          </w:tcPr>
          <w:p w14:paraId="0CD7D9A0">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default"/>
                <w:sz w:val="28"/>
                <w:szCs w:val="28"/>
                <w:lang w:val="en-US" w:eastAsia="zh-CN"/>
              </w:rPr>
              <w:t>20</w:t>
            </w:r>
          </w:p>
        </w:tc>
      </w:tr>
      <w:tr w14:paraId="2C8AC8A3">
        <w:tblPrEx/>
        <w:trPr>
          <w:trHeight w:val="1244" w:hRule="exact"/>
          <w:jc w:val="center"/>
        </w:trPr>
        <w:tc>
          <w:tcPr>
            <w:tcW w:w="801" w:type="pct"/>
            <w:tcBorders/>
            <w:vAlign w:val="center"/>
          </w:tcPr>
          <w:p w14:paraId="27F7D0FA">
            <w:pPr>
              <w:pStyle w:val="style0"/>
              <w:numPr>
                <w:ilvl w:val="255"/>
                <w:numId w:val="0"/>
              </w:numPr>
              <w:adjustRightInd/>
              <w:rPr>
                <w:rFonts w:ascii="仿宋_GB2312" w:cs="仿宋_GB2312" w:hAnsi="仿宋_GB2312" w:hint="eastAsia"/>
                <w:sz w:val="28"/>
                <w:szCs w:val="28"/>
                <w:lang w:val="en-US" w:eastAsia="zh-CN"/>
              </w:rPr>
            </w:pPr>
            <w:r>
              <w:rPr>
                <w:rFonts w:ascii="仿宋_GB2312" w:cs="仿宋_GB2312" w:hAnsi="仿宋_GB2312" w:hint="eastAsia"/>
                <w:sz w:val="28"/>
                <w:szCs w:val="28"/>
                <w:lang w:eastAsia="zh-CN"/>
              </w:rPr>
              <w:t>动态调整</w:t>
            </w:r>
          </w:p>
        </w:tc>
        <w:tc>
          <w:tcPr>
            <w:tcW w:w="3727" w:type="pct"/>
            <w:tcBorders/>
            <w:vAlign w:val="center"/>
          </w:tcPr>
          <w:p w14:paraId="158D00AE">
            <w:pPr>
              <w:pStyle w:val="style0"/>
              <w:numPr>
                <w:ilvl w:val="255"/>
                <w:numId w:val="0"/>
              </w:numPr>
              <w:adjustRightInd/>
              <w:rPr>
                <w:rFonts w:ascii="仿宋_GB2312" w:cs="仿宋_GB2312" w:hAnsi="仿宋_GB2312" w:hint="eastAsia"/>
                <w:sz w:val="28"/>
                <w:szCs w:val="28"/>
              </w:rPr>
            </w:pPr>
            <w:r>
              <w:rPr>
                <w:rFonts w:ascii="仿宋_GB2312" w:cs="仿宋_GB2312" w:hAnsi="仿宋_GB2312" w:hint="eastAsia"/>
                <w:sz w:val="28"/>
                <w:szCs w:val="28"/>
              </w:rPr>
              <w:t>及时对</w:t>
            </w:r>
            <w:r>
              <w:rPr>
                <w:rFonts w:ascii="仿宋_GB2312" w:cs="仿宋_GB2312" w:hAnsi="仿宋_GB2312" w:hint="eastAsia"/>
                <w:sz w:val="28"/>
                <w:szCs w:val="28"/>
                <w:lang w:eastAsia="zh-CN"/>
              </w:rPr>
              <w:t>学习实践</w:t>
            </w:r>
            <w:r>
              <w:rPr>
                <w:rFonts w:ascii="仿宋_GB2312" w:cs="仿宋_GB2312" w:hAnsi="仿宋_GB2312" w:hint="eastAsia"/>
                <w:sz w:val="28"/>
                <w:szCs w:val="28"/>
              </w:rPr>
              <w:t>行动</w:t>
            </w:r>
            <w:r>
              <w:rPr>
                <w:rFonts w:ascii="仿宋_GB2312" w:cs="仿宋_GB2312" w:hAnsi="仿宋_GB2312" w:hint="eastAsia"/>
                <w:sz w:val="28"/>
                <w:szCs w:val="28"/>
                <w:lang w:val="en-US" w:eastAsia="zh-CN"/>
              </w:rPr>
              <w:t>成效</w:t>
            </w:r>
            <w:r>
              <w:rPr>
                <w:rFonts w:ascii="仿宋_GB2312" w:cs="仿宋_GB2312" w:hAnsi="仿宋_GB2312" w:hint="eastAsia"/>
                <w:sz w:val="28"/>
                <w:szCs w:val="28"/>
              </w:rPr>
              <w:t>进行</w:t>
            </w:r>
            <w:r>
              <w:rPr>
                <w:rFonts w:ascii="仿宋_GB2312" w:cs="仿宋_GB2312" w:hAnsi="仿宋_GB2312" w:hint="eastAsia"/>
                <w:sz w:val="28"/>
                <w:szCs w:val="28"/>
                <w:lang w:eastAsia="zh-CN"/>
              </w:rPr>
              <w:t>自我</w:t>
            </w:r>
            <w:r>
              <w:rPr>
                <w:rFonts w:ascii="仿宋_GB2312" w:cs="仿宋_GB2312" w:hAnsi="仿宋_GB2312" w:hint="eastAsia"/>
                <w:sz w:val="28"/>
                <w:szCs w:val="28"/>
              </w:rPr>
              <w:t>评估，总结分析</w:t>
            </w:r>
            <w:r>
              <w:rPr>
                <w:rFonts w:ascii="仿宋_GB2312" w:cs="仿宋_GB2312" w:hAnsi="仿宋_GB2312" w:hint="eastAsia"/>
                <w:sz w:val="28"/>
                <w:szCs w:val="28"/>
                <w:lang w:eastAsia="zh-CN"/>
              </w:rPr>
              <w:t>收获、不足和原因，</w:t>
            </w:r>
            <w:r>
              <w:rPr>
                <w:rFonts w:ascii="仿宋_GB2312" w:cs="仿宋_GB2312" w:hAnsi="仿宋_GB2312" w:hint="eastAsia"/>
                <w:sz w:val="28"/>
                <w:szCs w:val="28"/>
              </w:rPr>
              <w:t>对职业目标</w:t>
            </w:r>
            <w:r>
              <w:rPr>
                <w:rFonts w:ascii="仿宋_GB2312" w:cs="仿宋_GB2312" w:hAnsi="仿宋_GB2312" w:hint="eastAsia"/>
                <w:sz w:val="28"/>
                <w:szCs w:val="28"/>
                <w:lang w:eastAsia="zh-CN"/>
              </w:rPr>
              <w:t>和学习实践行动</w:t>
            </w:r>
            <w:r>
              <w:rPr>
                <w:rFonts w:ascii="仿宋_GB2312" w:cs="仿宋_GB2312" w:hAnsi="仿宋_GB2312" w:hint="eastAsia"/>
                <w:sz w:val="28"/>
                <w:szCs w:val="28"/>
              </w:rPr>
              <w:t>路径等</w:t>
            </w:r>
            <w:r>
              <w:rPr>
                <w:rFonts w:ascii="仿宋_GB2312" w:cs="仿宋_GB2312" w:hAnsi="仿宋_GB2312" w:hint="eastAsia"/>
                <w:sz w:val="28"/>
                <w:szCs w:val="28"/>
                <w:lang w:eastAsia="zh-CN"/>
              </w:rPr>
              <w:t>作</w:t>
            </w:r>
            <w:r>
              <w:rPr>
                <w:rFonts w:ascii="仿宋_GB2312" w:cs="仿宋_GB2312" w:hAnsi="仿宋_GB2312" w:hint="eastAsia"/>
                <w:sz w:val="28"/>
                <w:szCs w:val="28"/>
              </w:rPr>
              <w:t>动态调整</w:t>
            </w:r>
          </w:p>
        </w:tc>
        <w:tc>
          <w:tcPr>
            <w:tcW w:w="471" w:type="pct"/>
            <w:tcBorders/>
            <w:vAlign w:val="center"/>
          </w:tcPr>
          <w:p w14:paraId="5783A8C4">
            <w:pPr>
              <w:pStyle w:val="style0"/>
              <w:numPr>
                <w:ilvl w:val="255"/>
                <w:numId w:val="0"/>
              </w:numPr>
              <w:adjustRightInd/>
              <w:rPr>
                <w:rFonts w:ascii="仿宋_GB2312" w:cs="仿宋_GB2312" w:hAnsi="仿宋_GB2312" w:hint="default"/>
                <w:sz w:val="28"/>
                <w:szCs w:val="28"/>
                <w:lang w:val="en-US" w:eastAsia="zh-CN"/>
              </w:rPr>
            </w:pPr>
            <w:r>
              <w:rPr>
                <w:rFonts w:ascii="仿宋_GB2312" w:cs="仿宋_GB2312" w:hAnsi="仿宋_GB2312" w:hint="eastAsia"/>
                <w:sz w:val="28"/>
                <w:szCs w:val="28"/>
                <w:lang w:val="en-US" w:eastAsia="zh-CN"/>
              </w:rPr>
              <w:t>20</w:t>
            </w:r>
          </w:p>
        </w:tc>
      </w:tr>
    </w:tbl>
    <w:p w14:paraId="59269DE5">
      <w:pPr>
        <w:pStyle w:val="style0"/>
        <w:widowControl/>
        <w:numPr>
          <w:ilvl w:val="0"/>
          <w:numId w:val="0"/>
        </w:numPr>
        <w:spacing w:lineRule="exact" w:line="530"/>
        <w:rPr>
          <w:rFonts w:cs="仿宋_GB2312" w:eastAsia="黑体"/>
          <w:bCs/>
          <w:color w:val="000000"/>
          <w:szCs w:val="32"/>
        </w:rPr>
      </w:pPr>
    </w:p>
    <w:p w14:paraId="0E8D8D66">
      <w:pPr>
        <w:pStyle w:val="style0"/>
        <w:widowControl/>
        <w:numPr>
          <w:ilvl w:val="255"/>
          <w:numId w:val="0"/>
        </w:numPr>
        <w:spacing w:lineRule="exact" w:line="530"/>
        <w:ind w:firstLine="640" w:firstLineChars="200"/>
        <w:rPr>
          <w:rFonts w:cs="仿宋_GB2312" w:eastAsia="黑体"/>
          <w:bCs/>
          <w:color w:val="000000"/>
          <w:szCs w:val="32"/>
        </w:rPr>
      </w:pPr>
      <w:r>
        <w:rPr>
          <w:rFonts w:cs="仿宋_GB2312" w:eastAsia="黑体" w:hint="eastAsia"/>
          <w:bCs/>
          <w:color w:val="000000"/>
          <w:szCs w:val="32"/>
        </w:rPr>
        <w:t>六、奖项设置</w:t>
      </w:r>
    </w:p>
    <w:p w14:paraId="37EE9D30">
      <w:pPr>
        <w:pStyle w:val="style0"/>
        <w:widowControl/>
        <w:spacing w:lineRule="exact" w:line="530"/>
        <w:ind w:firstLine="640" w:firstLineChars="200"/>
        <w:rPr>
          <w:rFonts w:ascii="仿宋_GB2312" w:cs="仿宋_GB2312" w:hAnsi="仿宋_GB2312"/>
          <w:color w:val="000000"/>
          <w:szCs w:val="32"/>
        </w:rPr>
      </w:pPr>
      <w:r>
        <w:rPr>
          <w:rFonts w:ascii="仿宋_GB2312" w:cs="仿宋_GB2312" w:hAnsi="仿宋_GB2312" w:hint="eastAsia"/>
          <w:color w:val="000000"/>
          <w:szCs w:val="32"/>
        </w:rPr>
        <w:t>成长赛道设置</w:t>
      </w:r>
      <w:r>
        <w:rPr>
          <w:rFonts w:ascii="仿宋_GB2312" w:cs="仿宋_GB2312" w:hAnsi="仿宋_GB2312" w:hint="default"/>
          <w:color w:val="000000"/>
          <w:szCs w:val="32"/>
          <w:lang w:val="en-US"/>
        </w:rPr>
        <w:t>一等</w:t>
      </w:r>
      <w:r>
        <w:rPr>
          <w:rFonts w:ascii="仿宋_GB2312" w:cs="仿宋_GB2312" w:hAnsi="仿宋_GB2312" w:hint="eastAsia"/>
          <w:color w:val="000000"/>
          <w:szCs w:val="32"/>
        </w:rPr>
        <w:t>奖、</w:t>
      </w:r>
      <w:r>
        <w:rPr>
          <w:rFonts w:ascii="仿宋_GB2312" w:cs="仿宋_GB2312" w:hAnsi="仿宋_GB2312" w:hint="default"/>
          <w:color w:val="000000"/>
          <w:szCs w:val="32"/>
          <w:lang w:val="en-US"/>
        </w:rPr>
        <w:t>二等</w:t>
      </w:r>
      <w:r>
        <w:rPr>
          <w:rFonts w:ascii="仿宋_GB2312" w:cs="仿宋_GB2312" w:hAnsi="仿宋_GB2312" w:hint="eastAsia"/>
          <w:color w:val="000000"/>
          <w:szCs w:val="32"/>
        </w:rPr>
        <w:t>奖、</w:t>
      </w:r>
      <w:r>
        <w:rPr>
          <w:rFonts w:ascii="仿宋_GB2312" w:cs="仿宋_GB2312" w:hAnsi="仿宋_GB2312" w:hint="default"/>
          <w:color w:val="000000"/>
          <w:szCs w:val="32"/>
          <w:lang w:val="en-US"/>
        </w:rPr>
        <w:t>三等</w:t>
      </w:r>
      <w:r>
        <w:rPr>
          <w:rFonts w:ascii="仿宋_GB2312" w:cs="仿宋_GB2312" w:hAnsi="仿宋_GB2312" w:hint="eastAsia"/>
          <w:color w:val="000000"/>
          <w:szCs w:val="32"/>
        </w:rPr>
        <w:t>奖</w:t>
      </w:r>
      <w:r>
        <w:rPr>
          <w:rFonts w:ascii="仿宋_GB2312" w:cs="仿宋_GB2312" w:hAnsi="仿宋_GB2312" w:hint="default"/>
          <w:color w:val="000000"/>
          <w:szCs w:val="32"/>
          <w:lang w:val="en-US"/>
        </w:rPr>
        <w:t>以及最佳人气奖</w:t>
      </w:r>
      <w:r>
        <w:rPr>
          <w:rFonts w:ascii="仿宋_GB2312" w:cs="仿宋_GB2312" w:hAnsi="仿宋_GB2312" w:hint="eastAsia"/>
          <w:color w:val="000000"/>
          <w:szCs w:val="32"/>
        </w:rPr>
        <w:t>等奖项。</w:t>
      </w:r>
    </w:p>
    <w:p w14:paraId="2D0CC5C9">
      <w:pPr>
        <w:pStyle w:val="style0"/>
        <w:widowControl/>
        <w:adjustRightInd/>
        <w:snapToGrid/>
        <w:rPr>
          <w:rFonts w:ascii="仿宋_GB2312" w:cs="仿宋_GB2312" w:hAnsi="仿宋_GB2312"/>
          <w:color w:val="000000"/>
          <w:szCs w:val="32"/>
        </w:rPr>
      </w:pPr>
    </w:p>
    <w:sectPr>
      <w:headerReference w:type="even" r:id="rId2"/>
      <w:headerReference w:type="default" r:id="rId3"/>
      <w:footerReference w:type="even" r:id="rId4"/>
      <w:footerReference w:type="default" r:id="rId5"/>
      <w:headerReference w:type="first" r:id="rId6"/>
      <w:pgSz w:w="11906" w:h="16838" w:orient="portrait"/>
      <w:pgMar w:top="1757" w:right="1800" w:bottom="1644" w:left="1800" w:header="851" w:footer="1474" w:gutter="0"/>
      <w:pgNumType w:start="8"/>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微软雅黑">
    <w:altName w:val="微软雅黑"/>
    <w:panose1 w:val="020b0503020002020204"/>
    <w:charset w:val="86"/>
    <w:family w:val="auto"/>
    <w:pitch w:val="default"/>
    <w:sig w:usb0="80000287" w:usb1="2ACF3C50" w:usb2="00000016" w:usb3="00000000" w:csb0="0004001F" w:csb1="00000000"/>
  </w:font>
  <w:font w:name="KSOFE44F9426">
    <w:altName w:val="KSOFE44F9426"/>
    <w:panose1 w:val="02010609060001010101"/>
    <w:charset w:val="86"/>
    <w:family w:val="auto"/>
    <w:pitch w:val="default"/>
    <w:sig w:usb0="00000001" w:usb1="00000000" w:usb2="00000000" w:usb3="00000000" w:csb0="00040001" w:csb1="00000000"/>
  </w:font>
  <w:font w:name="汉仪字酷堂长林体W">
    <w:altName w:val="汉仪字酷堂长林体W"/>
    <w:panose1 w:val="00020600040001010101"/>
    <w:charset w:val="86"/>
    <w:family w:val="auto"/>
    <w:pitch w:val="default"/>
    <w:sig w:usb0="8000003F" w:usb1="1AC104FA" w:usb2="00000016" w:usb3="00000000" w:csb0="0004009F" w:csb1="00000000"/>
  </w:font>
  <w:font w:name="汉仪中宋简">
    <w:altName w:val="汉仪中宋简"/>
    <w:panose1 w:val="02010600000001010101"/>
    <w:charset w:val="80"/>
    <w:family w:val="auto"/>
    <w:pitch w:val="default"/>
    <w:sig w:usb0="800002BF" w:usb1="184F6CF8" w:usb2="00000012" w:usb3="00000000" w:csb0="00020001"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3C50C2C">
    <w:pPr>
      <w:pStyle w:val="style32"/>
      <w:ind w:firstLine="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E2E63BF">
    <w:pPr>
      <w:pStyle w:val="style32"/>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4445</wp:posOffset>
              </wp:positionV>
              <wp:extent cx="864234" cy="352425"/>
              <wp:effectExtent l="0" t="0" r="0" b="0"/>
              <wp:wrapNone/>
              <wp:docPr id="4097"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4234" cy="352425"/>
                      </a:xfrm>
                      <a:prstGeom prst="rect"/>
                      <a:ln>
                        <a:noFill/>
                      </a:ln>
                    </wps:spPr>
                    <wps:txbx id="4097">
                      <w:txbxContent>
                        <w:p w14:paraId="18E9C014">
                          <w:pPr>
                            <w:pStyle w:val="style32"/>
                            <w:jc w:val="center"/>
                            <w:rPr>
                              <w:sz w:val="28"/>
                              <w:szCs w:val="28"/>
                            </w:rPr>
                          </w:pPr>
                          <w:r>
                            <w:rPr>
                              <w:rFonts w:ascii="仿宋_GB2312" w:cs="仿宋_GB2312" w:hAnsi="仿宋_GB2312" w:hint="eastAsia"/>
                              <w:sz w:val="28"/>
                              <w:szCs w:val="28"/>
                            </w:rPr>
                            <w:t>—</w:t>
                          </w:r>
                          <w:r>
                            <w:rPr>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9</w:t>
                          </w:r>
                          <w:r>
                            <w:rPr>
                              <w:rFonts w:eastAsia="宋体"/>
                              <w:sz w:val="28"/>
                              <w:szCs w:val="28"/>
                            </w:rPr>
                            <w:fldChar w:fldCharType="end"/>
                          </w:r>
                          <w:r>
                            <w:rPr>
                              <w:sz w:val="28"/>
                              <w:szCs w:val="28"/>
                            </w:rPr>
                            <w:t xml:space="preserve"> </w:t>
                          </w:r>
                          <w:r>
                            <w:rPr>
                              <w:rFonts w:ascii="仿宋_GB2312" w:cs="仿宋_GB2312" w:hAnsi="仿宋_GB2312" w:hint="eastAsia"/>
                              <w:sz w:val="28"/>
                              <w:szCs w:val="28"/>
                            </w:rPr>
                            <w:t>—</w:t>
                          </w:r>
                        </w:p>
                      </w:txbxContent>
                    </wps:txbx>
                    <wps:bodyPr lIns="0" rIns="0" tIns="0" bIns="0" vert="horz" anchor="t" wrap="square">
                      <a:prstTxWarp prst="textNoShape"/>
                      <a:noAutofit/>
                    </wps:bodyPr>
                  </wps:wsp>
                </a:graphicData>
              </a:graphic>
            </wp:anchor>
          </w:drawing>
        </mc:Choice>
        <mc:Fallback>
          <w:pict>
            <v:rect id="4097" filled="f" stroked="f" style="position:absolute;margin-left:0.0pt;margin-top:0.35pt;width:68.05pt;height:27.75pt;z-index:2;mso-position-horizontal:outside;mso-position-horizontal-relative:margin;mso-position-vertical-relative:text;mso-width-relative:page;mso-height-relative:page;mso-wrap-distance-left:0.0pt;mso-wrap-distance-right:0.0pt;visibility:visible;">
              <v:stroke on="f"/>
              <v:fill/>
              <v:textbox inset="0.0pt,0.0pt,0.0pt,0.0pt">
                <w:txbxContent>
                  <w:p w14:paraId="18E9C014">
                    <w:pPr>
                      <w:pStyle w:val="style32"/>
                      <w:jc w:val="center"/>
                      <w:rPr>
                        <w:sz w:val="28"/>
                        <w:szCs w:val="28"/>
                      </w:rPr>
                    </w:pPr>
                    <w:r>
                      <w:rPr>
                        <w:rFonts w:ascii="仿宋_GB2312" w:cs="仿宋_GB2312" w:hAnsi="仿宋_GB2312" w:hint="eastAsia"/>
                        <w:sz w:val="28"/>
                        <w:szCs w:val="28"/>
                      </w:rPr>
                      <w:t>—</w:t>
                    </w:r>
                    <w:r>
                      <w:rPr>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9</w:t>
                    </w:r>
                    <w:r>
                      <w:rPr>
                        <w:rFonts w:eastAsia="宋体"/>
                        <w:sz w:val="28"/>
                        <w:szCs w:val="28"/>
                      </w:rPr>
                      <w:fldChar w:fldCharType="end"/>
                    </w:r>
                    <w:r>
                      <w:rPr>
                        <w:sz w:val="28"/>
                        <w:szCs w:val="28"/>
                      </w:rPr>
                      <w:t xml:space="preserve"> </w:t>
                    </w:r>
                    <w:r>
                      <w:rPr>
                        <w:rFonts w:ascii="仿宋_GB2312" w:cs="仿宋_GB2312" w:hAnsi="仿宋_GB2312" w:hint="eastAsia"/>
                        <w:sz w:val="28"/>
                        <w:szCs w:val="28"/>
                      </w:rPr>
                      <w:t>—</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52639A1">
    <w:pPr>
      <w:pStyle w:val="style31"/>
      <w:ind w:firstLine="36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2058EA8">
    <w:pPr>
      <w:pStyle w:val="style31"/>
      <w:ind w:firstLine="36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983F808">
    <w:pPr>
      <w:pStyle w:val="style31"/>
      <w:ind w:firstLine="3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start w:val="5"/>
      <w:numFmt w:val="chineseCounting"/>
      <w:suff w:val="nothing"/>
      <w:lvlText w:val="%1、"/>
      <w:lvlJc w:val="left"/>
      <w:pPr/>
      <w:rPr>
        <w:rFonts w:hint="eastAsia"/>
      </w:rPr>
    </w:lvl>
  </w:abstractNum>
  <w:abstractNum w:abstractNumId="1">
    <w:nsid w:val="00000001"/>
    <w:multiLevelType w:val="multilevel"/>
    <w:tmpl w:val="00000001"/>
    <w:lvl w:ilvl="0">
      <w:start w:val="1"/>
      <w:numFmt w:val="chineseCounting"/>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00000002"/>
    <w:multiLevelType w:val="multilevel"/>
    <w:tmpl w:val="00000002"/>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embedTrueTypeFonts/>
  <w:saveSubset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0"/>
  <w:drawingGridHorizontalSpacing w:val="160"/>
  <w:drawingGridVerticalSpacing w:val="435"/>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adjustRightInd w:val="false"/>
      <w:snapToGrid w:val="false"/>
      <w:jc w:val="both"/>
    </w:pPr>
    <w:rPr>
      <w:rFonts w:ascii="Times New Roman" w:cs="Times New Roman" w:eastAsia="仿宋_GB2312" w:hAnsi="Times New Roman"/>
      <w:kern w:val="2"/>
      <w:sz w:val="32"/>
      <w:szCs w:val="22"/>
      <w:lang w:val="en-US" w:bidi="ar-SA" w:eastAsia="zh-CN"/>
    </w:rPr>
  </w:style>
  <w:style w:type="paragraph" w:styleId="style1">
    <w:name w:val="heading 1"/>
    <w:basedOn w:val="style0"/>
    <w:next w:val="style0"/>
    <w:qFormat/>
    <w:uiPriority w:val="0"/>
    <w:pPr>
      <w:spacing w:beforeAutospacing="true" w:afterAutospacing="true"/>
      <w:jc w:val="left"/>
      <w:outlineLvl w:val="0"/>
    </w:pPr>
    <w:rPr>
      <w:rFonts w:ascii="宋体" w:eastAsia="宋体" w:hAnsi="宋体" w:hint="eastAsia"/>
      <w:b/>
      <w:bCs/>
      <w:kern w:val="44"/>
      <w:sz w:val="48"/>
      <w:szCs w:val="48"/>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097"/>
    <w:qFormat/>
    <w:uiPriority w:val="99"/>
    <w:pPr>
      <w:jc w:val="left"/>
    </w:pPr>
    <w:rPr/>
  </w:style>
  <w:style w:type="paragraph" w:styleId="style66">
    <w:name w:val="Body Text"/>
    <w:basedOn w:val="style0"/>
    <w:next w:val="style0"/>
    <w:link w:val="style4099"/>
    <w:qFormat/>
    <w:uiPriority w:val="0"/>
    <w:pPr/>
    <w:rPr>
      <w:rFonts w:ascii="Calibri" w:cs="宋体" w:eastAsia="仿宋" w:hAnsi="Calibri"/>
      <w:szCs w:val="24"/>
    </w:rPr>
  </w:style>
  <w:style w:type="paragraph" w:styleId="style82">
    <w:name w:val="Body Text Indent 2"/>
    <w:basedOn w:val="style0"/>
    <w:next w:val="style82"/>
    <w:qFormat/>
    <w:uiPriority w:val="99"/>
    <w:pPr>
      <w:spacing w:after="120" w:lineRule="auto" w:line="480"/>
      <w:ind w:left="420" w:leftChars="200"/>
    </w:pPr>
    <w:rPr/>
  </w:style>
  <w:style w:type="paragraph" w:styleId="style153">
    <w:name w:val="Balloon Text"/>
    <w:basedOn w:val="style0"/>
    <w:next w:val="style153"/>
    <w:link w:val="style4098"/>
    <w:qFormat/>
    <w:uiPriority w:val="0"/>
    <w:pPr/>
    <w:rPr>
      <w:sz w:val="18"/>
      <w:szCs w:val="18"/>
    </w:rPr>
  </w:style>
  <w:style w:type="paragraph" w:styleId="style32">
    <w:name w:val="footer"/>
    <w:basedOn w:val="style0"/>
    <w:next w:val="style32"/>
    <w:qFormat/>
    <w:uiPriority w:val="0"/>
    <w:pPr>
      <w:tabs>
        <w:tab w:val="center" w:leader="none" w:pos="4153"/>
        <w:tab w:val="right" w:leader="none" w:pos="8306"/>
      </w:tabs>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pPr>
    <w:rPr>
      <w:sz w:val="18"/>
    </w:rPr>
  </w:style>
  <w:style w:type="paragraph" w:styleId="style29">
    <w:name w:val="footnote text"/>
    <w:basedOn w:val="style0"/>
    <w:next w:val="style0"/>
    <w:qFormat/>
    <w:uiPriority w:val="0"/>
    <w:pPr>
      <w:jc w:val="left"/>
    </w:pPr>
    <w:rPr>
      <w:sz w:val="18"/>
    </w:rPr>
  </w:style>
  <w:style w:type="paragraph" w:styleId="style94">
    <w:name w:val="Normal (Web)"/>
    <w:basedOn w:val="style0"/>
    <w:next w:val="style94"/>
    <w:qFormat/>
    <w:uiPriority w:val="0"/>
    <w:pPr/>
    <w:rPr>
      <w:sz w:val="24"/>
      <w:szCs w:val="24"/>
    </w:rPr>
  </w:style>
  <w:style w:type="table" w:styleId="style154">
    <w:name w:val="Table Grid"/>
    <w:basedOn w:val="style105"/>
    <w:next w:val="style154"/>
    <w:qFormat/>
    <w:uiPriority w:val="39"/>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88">
    <w:name w:val="Emphasis"/>
    <w:basedOn w:val="style65"/>
    <w:next w:val="style88"/>
    <w:qFormat/>
    <w:uiPriority w:val="0"/>
    <w:rPr>
      <w:i/>
    </w:rPr>
  </w:style>
  <w:style w:type="character" w:styleId="style38">
    <w:name w:val="footnote reference"/>
    <w:basedOn w:val="style65"/>
    <w:next w:val="style38"/>
    <w:qFormat/>
    <w:uiPriority w:val="0"/>
    <w:rPr>
      <w:vertAlign w:val="superscript"/>
    </w:rPr>
  </w:style>
  <w:style w:type="paragraph" w:styleId="style179">
    <w:name w:val="List Paragraph"/>
    <w:basedOn w:val="style0"/>
    <w:next w:val="style179"/>
    <w:qFormat/>
    <w:uiPriority w:val="34"/>
    <w:pPr>
      <w:ind w:firstLine="420"/>
    </w:pPr>
    <w:rPr/>
  </w:style>
  <w:style w:type="character" w:customStyle="1" w:styleId="style4097">
    <w:name w:val="批注文字 Char"/>
    <w:basedOn w:val="style65"/>
    <w:next w:val="style4097"/>
    <w:link w:val="style30"/>
    <w:qFormat/>
    <w:uiPriority w:val="99"/>
    <w:rPr>
      <w:rFonts w:eastAsia="仿宋_GB2312"/>
      <w:kern w:val="2"/>
      <w:sz w:val="32"/>
      <w:szCs w:val="22"/>
    </w:rPr>
  </w:style>
  <w:style w:type="character" w:customStyle="1" w:styleId="style4098">
    <w:name w:val="批注框文本 Char"/>
    <w:basedOn w:val="style65"/>
    <w:next w:val="style4098"/>
    <w:link w:val="style153"/>
    <w:qFormat/>
    <w:uiPriority w:val="0"/>
    <w:rPr>
      <w:rFonts w:eastAsia="仿宋_GB2312"/>
      <w:kern w:val="2"/>
      <w:sz w:val="18"/>
      <w:szCs w:val="18"/>
    </w:rPr>
  </w:style>
  <w:style w:type="character" w:customStyle="1" w:styleId="style4099">
    <w:name w:val="正文文本 Char"/>
    <w:basedOn w:val="style65"/>
    <w:next w:val="style4099"/>
    <w:link w:val="style66"/>
    <w:qFormat/>
    <w:uiPriority w:val="0"/>
    <w:rPr>
      <w:rFonts w:ascii="Calibri" w:cs="宋体" w:hAnsi="Calibri" w:hint="default"/>
      <w:kern w:val="2"/>
      <w:sz w:val="21"/>
      <w:szCs w:val="24"/>
    </w:rPr>
  </w:style>
  <w:style w:type="paragraph" w:customStyle="1" w:styleId="style4100">
    <w:name w:val="修订1"/>
    <w:next w:val="style4100"/>
    <w:qFormat/>
    <w:uiPriority w:val="99"/>
    <w:pPr/>
    <w:rPr>
      <w:rFonts w:ascii="Times New Roman" w:cs="Times New Roman" w:eastAsia="仿宋_GB2312" w:hAnsi="Times New Roman"/>
      <w:kern w:val="2"/>
      <w:sz w:val="32"/>
      <w:szCs w:val="22"/>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1143</Words>
  <Pages>3</Pages>
  <Characters>1171</Characters>
  <Application>WPS Office</Application>
  <DocSecurity>0</DocSecurity>
  <Paragraphs>69</Paragraphs>
  <ScaleCrop>false</ScaleCrop>
  <Company>Organization</Company>
  <LinksUpToDate>false</LinksUpToDate>
  <CharactersWithSpaces>1178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2025-10-21T05:41:00Z</dcterms:created>
  <dc:creator>Dell</dc:creator>
  <lastModifiedBy>24117RK2CC</lastModifiedBy>
  <lastPrinted>2025-10-13T17:04:00Z</lastPrinted>
  <dcterms:modified xsi:type="dcterms:W3CDTF">2026-04-27T09:02:57Z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7393077343BA48039A74D360B657D1FC_13</vt:lpwstr>
  </property>
  <property fmtid="{D5CDD505-2E9C-101B-9397-08002B2CF9AE}" pid="4" name="KSOTemplateDocerSaveRecord">
    <vt:lpwstr>eyJoZGlkIjoiYjkyZmNhZmMwYTRkMzdjNDc0ZDBiODA4ZTNmNjg2YzYiLCJ1c2VySWQiOiIxNDU5NDUxNjU1In0=</vt:lpwstr>
  </property>
</Properties>
</file>